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CF" w:rsidRPr="004C1CCF" w:rsidRDefault="004C1CCF" w:rsidP="004C1CCF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 xml:space="preserve">Приказ </w:t>
      </w:r>
      <w:proofErr w:type="spellStart"/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 xml:space="preserve"> России от 09.04.2015 N 390 "О внесении изменений в федеральные государственные образовательные стандарты среднего профессионального образования...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8 мая 2015 г. N 37199</w:t>
      </w:r>
    </w:p>
    <w:p w:rsidR="004C1CCF" w:rsidRPr="004C1CCF" w:rsidRDefault="004C1CCF" w:rsidP="004C1CCF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9 апреля 2015 г. N 390</w:t>
      </w:r>
      <w:proofErr w:type="gramStart"/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ВНЕСЕНИИ ИЗМЕНЕНИЙ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 ФЕДЕРАЛЬНЫЕ ГОСУДАРСТВЕННЫЕ ОБРАЗОВАТЕЛЬНЫЕ СТАНДАРТЫ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3776), </w:t>
      </w:r>
      <w:hyperlink r:id="rId7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20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 </w:t>
      </w:r>
      <w:hyperlink r:id="rId8" w:anchor="p31" w:tooltip="Ссылка на текущий документ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обучение лиц, зачисленных до вступления в силу настоящего приказа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настоящим приказом, по решению образовательной организации и с согласия обучающегося.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Министр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4C1CCF" w:rsidRDefault="004C1CCF" w:rsidP="004C1CCF">
      <w:pPr>
        <w:pStyle w:val="2"/>
        <w:shd w:val="clear" w:color="auto" w:fill="FFFFFF"/>
        <w:spacing w:before="0"/>
        <w:jc w:val="center"/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C1CCF" w:rsidRPr="004C1CCF" w:rsidRDefault="004C1CCF" w:rsidP="004C1CCF"/>
    <w:p w:rsidR="004C1CCF" w:rsidRPr="004C1CCF" w:rsidRDefault="004C1CCF" w:rsidP="004C1CCF"/>
    <w:p w:rsidR="004C1CCF" w:rsidRPr="004C1CCF" w:rsidRDefault="004C1CCF" w:rsidP="004C1CCF"/>
    <w:p w:rsidR="004C1CCF" w:rsidRDefault="004C1CCF" w:rsidP="004C1CCF"/>
    <w:p w:rsidR="004C1CCF" w:rsidRPr="004C1CCF" w:rsidRDefault="004C1CCF" w:rsidP="004C1CC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2 августа 2013 г. N 798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 УТВЕРЖДЕНИИ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ФЕДЕРАЛЬНОГО ГОСУДАРСТВЕННОГО ОБРАЗОВАТЕЛЬНОГО СТАНДАРТА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ПРОФЕССИИ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260807.01 ПОВАР, КОНДИТЕР</w:t>
      </w:r>
    </w:p>
    <w:p w:rsidR="004C1CCF" w:rsidRPr="004C1CCF" w:rsidRDefault="004C1CCF" w:rsidP="004C1CCF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shd w:val="clear" w:color="auto" w:fill="F0F0EB"/>
          <w:lang w:eastAsia="ru-RU"/>
        </w:rPr>
        <w:t>Список изменяющих документов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9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5.2.41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10" w:anchor="p36" w:tooltip="Ссылка на текущий документ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среднего профессионального образования по профессии 260807.01 Повар, кондитер.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 </w:t>
      </w:r>
      <w:hyperlink r:id="rId11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C1CCF" w:rsidRPr="004C1CCF" w:rsidRDefault="004C1CCF" w:rsidP="004C1CC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ФЕДЕРАЛЬНЫЙ ГОСУДАРСТВЕННЫЙ ОБРАЗОВАТЕЛЬНЫЙ СТАНДАРТ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ПРОФЕССИИ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260807.01 ПОВАР, КОНДИТЕР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ОБЛАСТЬ ПРИМЕНЕНИЯ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2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II. ИСПОЛЬЗУЕМЫЕ СОКРАЩЕНИЯ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общая компетенция;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ХАРАКТЕРИСТИКА ПОДГОТОВКИ ПО ПРОФЕССИИ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5460"/>
        <w:gridCol w:w="3320"/>
      </w:tblGrid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квалификации (профессий по Общероссийскому </w:t>
            </w:r>
            <w:hyperlink r:id="rId13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профессий рабочих, должностей служащих и тарифных разрядов)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016-94) </w:t>
            </w:r>
            <w:hyperlink r:id="rId14" w:anchor="p82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получения СПО по ППКРС в очной форме обучения </w:t>
            </w:r>
            <w:hyperlink r:id="rId15" w:anchor="p83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мес.</w:t>
            </w:r>
          </w:p>
        </w:tc>
      </w:tr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10 мес. </w:t>
            </w:r>
            <w:hyperlink r:id="rId16" w:anchor="p84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4C1CCF" w:rsidRPr="004C1CCF" w:rsidTr="004C1CCF">
        <w:trPr>
          <w:trHeight w:val="300"/>
        </w:trPr>
        <w:tc>
          <w:tcPr>
            <w:tcW w:w="11600" w:type="dxa"/>
            <w:gridSpan w:val="3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ред. </w:t>
            </w:r>
            <w:hyperlink r:id="rId17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(см. те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кст в пр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едыдущей </w:t>
            </w:r>
            <w:hyperlink r:id="rId18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 </w:t>
      </w:r>
      <w:hyperlink r:id="rId19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классификатору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 (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016-94) при формировании ППКРС: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повар - кондитер.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очно-заочной форме обучения: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IV. ХАРАКТЕРИСТИКА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ВЫПУСКНИКОВ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посуда и инвентарь;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Приготовление блюд из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Приготовление супов и соусов.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Приготовление блюд из рыбы.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 Приготовление блюд из мяса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 Приготовление холодных блюд и закусок.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 Приготовление сладких блюд и напитков.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 &lt;*&gt;.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В соответствии с Федеральным </w:t>
      </w:r>
      <w:hyperlink r:id="rId20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28.03.1998 N 53-ФЗ "О воинской обязанности и военной службе".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Приготовление блюд из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2.2.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Приготовление супов и соусов.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3.1. Готовить бульоны и отвары.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Готовить простые супы.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Приготовление блюд из рыбы.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 Приготовление блюд из мяса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Приготовление холодных блюд и закусок.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 Приготовление сладких блюд и напитков.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 Приготовление хлебобулочных, мучных и кондитерских изделий.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ТРЕБОВАНИЯ К СТРУКТУРЕ ПРОГРАММЫ ПОДГОТОВКИ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общепрофессионального;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культура;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Структура программы подготовки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900"/>
        <w:gridCol w:w="1792"/>
        <w:gridCol w:w="1738"/>
        <w:gridCol w:w="2740"/>
        <w:gridCol w:w="1768"/>
      </w:tblGrid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общепрофессиональным дисциплинам должен: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ОП.01. Основы микробиологии,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санитарии и гигиены в пищевом производстве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 1.1 -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проводить органолептическую оценку качества пищевого сырья и продуктов;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составлять рационы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суточный расход энергии;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рациона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 и принципы рационального сбалансированного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ОП.02. Физиология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питания с основами товароведения продовольственных товаров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сырья и готовых изделий на производстве;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и назначение основных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от негативных воздействий чрезвычайных ситуаций;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</w:tbl>
    <w:p w:rsidR="004C1CCF" w:rsidRPr="004C1CCF" w:rsidRDefault="004C1CCF" w:rsidP="004C1CCF">
      <w:pPr>
        <w:numPr>
          <w:ilvl w:val="0"/>
          <w:numId w:val="6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anchor="esse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Справка о документе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anchor="text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Текст документа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anchor="cont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Оглавление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3</w:t>
        </w:r>
      </w:hyperlink>
    </w:p>
    <w:p w:rsidR="004C1CCF" w:rsidRPr="004C1CCF" w:rsidRDefault="004C1CCF" w:rsidP="004C1CCF">
      <w:pPr>
        <w:numPr>
          <w:ilvl w:val="0"/>
          <w:numId w:val="7"/>
        </w:numPr>
        <w:shd w:val="clear" w:color="auto" w:fill="FFFFFF"/>
        <w:spacing w:after="15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900"/>
        <w:gridCol w:w="1300"/>
        <w:gridCol w:w="1300"/>
        <w:gridCol w:w="2740"/>
        <w:gridCol w:w="1600"/>
      </w:tblGrid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обрабатывать различными методами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овощи и грибы;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технологического оборудования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супов и соусов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приготовления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безопасного использования и последовательность выполнения технологических операций при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приготовлении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 рыбного сырья;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проверять органолептическим способом качество рыбы и соответствие технологическим требованиям к простым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блюдам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готовых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температурный режим и правила охлаждения, замораживания и хранения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полуфабрикатов и готовых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 сырья;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использовать различные технологии приготовления и оформления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необходимого технологического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гастрономических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выбирать способы хранения с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соблюдением температурного режима;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необходимого технологического оборудования и производственного инвентаря, правила их безопасного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классификацию и ассортимент, пищевую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ценность, требования к качеству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охлаждения и хранения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ПМ.08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выбора основных продуктов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дополнительных ингредиентов к ним при приготовлении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МДК.08.01. Технология приготовления хлебобулочных, мучных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кондитерских изделий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</w:tbl>
    <w:p w:rsidR="004C1CCF" w:rsidRPr="004C1CCF" w:rsidRDefault="004C1CCF" w:rsidP="004C1CCF">
      <w:pPr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900"/>
        <w:gridCol w:w="1300"/>
        <w:gridCol w:w="1300"/>
        <w:gridCol w:w="2740"/>
        <w:gridCol w:w="1600"/>
      </w:tblGrid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освоения раздела "Физическая культура"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/на базе </w:t>
            </w: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756/1476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1.1 - 1.2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28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(см. те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кст в пр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едыдущей </w:t>
            </w:r>
            <w:hyperlink r:id="rId29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30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(см. те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кст в пр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едыдущей </w:t>
            </w:r>
            <w:hyperlink r:id="rId31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32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(см. те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кст в пр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едыдущей </w:t>
            </w:r>
            <w:hyperlink r:id="rId33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C1CCF" w:rsidRPr="004C1CCF" w:rsidRDefault="004C1CCF" w:rsidP="004C1C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3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34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09.04.2015 N 390)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4C1CCF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4C1CCF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35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4C1C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980"/>
      </w:tblGrid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КВАЛИФИЦИРОВАННЫХ РАБОЧИХ, СЛУЖАЩИХ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36" w:history="1">
        <w:proofErr w:type="gramStart"/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ОК</w:t>
        </w:r>
        <w:proofErr w:type="gramEnd"/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016-94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(исходя из рекомендуемого перечня их возможных сочетаний согласно </w:t>
      </w:r>
      <w:hyperlink r:id="rId37" w:anchor="p86" w:tooltip="Ссылка на текущий документ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3.2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ФГОС СПО), с учетом соответствующей примерной ППКРС.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38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09.04.2015 N 390)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4C1CCF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4C1CCF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39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4C1C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обязана обеспечивать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должна предусматривать при реализации 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 </w:t>
      </w:r>
      <w:hyperlink r:id="rId40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академических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реализуемая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теоретическое обучение (при обязательной учебной нагрузке</w:t>
      </w:r>
      <w:proofErr w:type="gramEnd"/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36 часов в неделю)                                              57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промежуточная аттестация                                         3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каникулы                                                        22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41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 статьи 13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7.15.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42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68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кабинетов, лабораторий, мастерских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помещений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кулинарного производства;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кондитерского производства;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жизнедеятельности и охраны труда.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Лаборатории: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микробиологии, санитарии и гигиены;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товароведения продовольственных товаров;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кулинарный цех.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кондитерский цех.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библиотека, читальный зал с выходом в сеть Интернет;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актовый зал.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должна обеспечивать: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ТРЕБОВАНИЯ К РЕЗУЛЬТАТАМ ОСВОЕНИЯ ПРОГРАММЫ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КВАЛИФИЦИРОВАННЫХ РАБОЧИХ, СЛУЖАЩИХ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43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6 статьи 59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Государственная итоговая аттестация включает защиту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выпускной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44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6 статьи 68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D0A65" w:rsidRPr="004C1CCF" w:rsidRDefault="004C1CCF" w:rsidP="004C1CCF">
      <w:pPr>
        <w:spacing w:after="0" w:line="240" w:lineRule="auto"/>
        <w:ind w:left="-45" w:right="-18705"/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CD0A65" w:rsidRPr="004C1CCF" w:rsidSect="004C1CC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D93"/>
    <w:multiLevelType w:val="multilevel"/>
    <w:tmpl w:val="D00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F2C59"/>
    <w:multiLevelType w:val="multilevel"/>
    <w:tmpl w:val="418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0E34"/>
    <w:multiLevelType w:val="multilevel"/>
    <w:tmpl w:val="025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C65C6"/>
    <w:multiLevelType w:val="multilevel"/>
    <w:tmpl w:val="440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D663B"/>
    <w:multiLevelType w:val="multilevel"/>
    <w:tmpl w:val="411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225A0"/>
    <w:multiLevelType w:val="multilevel"/>
    <w:tmpl w:val="445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502BC"/>
    <w:multiLevelType w:val="multilevel"/>
    <w:tmpl w:val="276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F"/>
    <w:rsid w:val="000803F6"/>
    <w:rsid w:val="00090905"/>
    <w:rsid w:val="004314B1"/>
    <w:rsid w:val="004C1CCF"/>
    <w:rsid w:val="007023F8"/>
    <w:rsid w:val="00922454"/>
    <w:rsid w:val="00C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C1C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C1C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17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10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914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3739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890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257"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688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9702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419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829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436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973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61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501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869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33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25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7031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4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59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677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8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065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93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9503/?frame=1" TargetMode="External"/><Relationship Id="rId13" Type="http://schemas.openxmlformats.org/officeDocument/2006/relationships/hyperlink" Target="http://www.consultant.ru/document/cons_doc_LAW_135996/?dst=100010" TargetMode="External"/><Relationship Id="rId18" Type="http://schemas.openxmlformats.org/officeDocument/2006/relationships/hyperlink" Target="http://www.consultant.ru/document/cons_doc_LAW_153104/?dst=100038" TargetMode="External"/><Relationship Id="rId26" Type="http://schemas.openxmlformats.org/officeDocument/2006/relationships/hyperlink" Target="http://www.consultant.ru/document/cons_doc_LAW_179711/?frame=2" TargetMode="External"/><Relationship Id="rId39" Type="http://schemas.openxmlformats.org/officeDocument/2006/relationships/hyperlink" Target="http://www.consultant.ru/document/cons_doc_LAW_153104/?dst=1002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79711/?frame=2" TargetMode="External"/><Relationship Id="rId34" Type="http://schemas.openxmlformats.org/officeDocument/2006/relationships/hyperlink" Target="http://www.consultant.ru/document/cons_doc_LAW_179503/?dst=101507" TargetMode="External"/><Relationship Id="rId42" Type="http://schemas.openxmlformats.org/officeDocument/2006/relationships/hyperlink" Target="http://www.consultant.ru/document/cons_doc_LAW_173649/?dst=100910" TargetMode="External"/><Relationship Id="rId7" Type="http://schemas.openxmlformats.org/officeDocument/2006/relationships/hyperlink" Target="http://www.consultant.ru/document/cons_doc_LAW_168607/?dst=100047" TargetMode="External"/><Relationship Id="rId12" Type="http://schemas.openxmlformats.org/officeDocument/2006/relationships/hyperlink" Target="http://www.consultant.ru/document/cons_doc_LAW_173649/?dst=100257" TargetMode="External"/><Relationship Id="rId17" Type="http://schemas.openxmlformats.org/officeDocument/2006/relationships/hyperlink" Target="http://www.consultant.ru/document/cons_doc_LAW_179503/?dst=101490" TargetMode="External"/><Relationship Id="rId25" Type="http://schemas.openxmlformats.org/officeDocument/2006/relationships/hyperlink" Target="http://www.consultant.ru/document/cons_doc_LAW_179711/?frame=1" TargetMode="External"/><Relationship Id="rId33" Type="http://schemas.openxmlformats.org/officeDocument/2006/relationships/hyperlink" Target="http://www.consultant.ru/document/cons_doc_LAW_153104/?dst=100223" TargetMode="External"/><Relationship Id="rId38" Type="http://schemas.openxmlformats.org/officeDocument/2006/relationships/hyperlink" Target="http://www.consultant.ru/document/cons_doc_LAW_179503/?dst=10152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9711/?frame=1" TargetMode="External"/><Relationship Id="rId20" Type="http://schemas.openxmlformats.org/officeDocument/2006/relationships/hyperlink" Target="http://www.consultant.ru/document/cons_doc_LAW_178914" TargetMode="External"/><Relationship Id="rId29" Type="http://schemas.openxmlformats.org/officeDocument/2006/relationships/hyperlink" Target="http://www.consultant.ru/document/cons_doc_LAW_153104/?dst=100213" TargetMode="External"/><Relationship Id="rId41" Type="http://schemas.openxmlformats.org/officeDocument/2006/relationships/hyperlink" Target="http://www.consultant.ru/document/cons_doc_LAW_178914/?dst=3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249/?dst=100061" TargetMode="External"/><Relationship Id="rId11" Type="http://schemas.openxmlformats.org/officeDocument/2006/relationships/hyperlink" Target="http://www.consultant.ru/document/cons_doc_LAW_104392" TargetMode="External"/><Relationship Id="rId24" Type="http://schemas.openxmlformats.org/officeDocument/2006/relationships/hyperlink" Target="http://www.consultant.ru/document/cons_doc_LAW_179711/" TargetMode="External"/><Relationship Id="rId32" Type="http://schemas.openxmlformats.org/officeDocument/2006/relationships/hyperlink" Target="http://www.consultant.ru/document/cons_doc_LAW_179503/?dst=101503" TargetMode="External"/><Relationship Id="rId37" Type="http://schemas.openxmlformats.org/officeDocument/2006/relationships/hyperlink" Target="http://www.consultant.ru/document/cons_doc_LAW_179711/?frame=1" TargetMode="External"/><Relationship Id="rId40" Type="http://schemas.openxmlformats.org/officeDocument/2006/relationships/hyperlink" Target="http://www.consultant.ru/document/cons_doc_LAW_17364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9711/?frame=1" TargetMode="External"/><Relationship Id="rId23" Type="http://schemas.openxmlformats.org/officeDocument/2006/relationships/hyperlink" Target="http://www.consultant.ru/document/cons_doc_LAW_179711/?frame=2" TargetMode="External"/><Relationship Id="rId28" Type="http://schemas.openxmlformats.org/officeDocument/2006/relationships/hyperlink" Target="http://www.consultant.ru/document/cons_doc_LAW_179503/?dst=101491" TargetMode="External"/><Relationship Id="rId36" Type="http://schemas.openxmlformats.org/officeDocument/2006/relationships/hyperlink" Target="http://www.consultant.ru/document/cons_doc_LAW_135996/?dst=100010" TargetMode="External"/><Relationship Id="rId10" Type="http://schemas.openxmlformats.org/officeDocument/2006/relationships/hyperlink" Target="http://www.consultant.ru/document/cons_doc_LAW_179711/?frame=1" TargetMode="External"/><Relationship Id="rId19" Type="http://schemas.openxmlformats.org/officeDocument/2006/relationships/hyperlink" Target="http://www.consultant.ru/document/cons_doc_LAW_135996/?dst=100010" TargetMode="External"/><Relationship Id="rId31" Type="http://schemas.openxmlformats.org/officeDocument/2006/relationships/hyperlink" Target="http://www.consultant.ru/document/cons_doc_LAW_153104/?dst=100220" TargetMode="External"/><Relationship Id="rId44" Type="http://schemas.openxmlformats.org/officeDocument/2006/relationships/hyperlink" Target="http://www.consultant.ru/document/cons_doc_LAW_173649/?dst=100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249/?dst=100061" TargetMode="External"/><Relationship Id="rId14" Type="http://schemas.openxmlformats.org/officeDocument/2006/relationships/hyperlink" Target="http://www.consultant.ru/document/cons_doc_LAW_179711/?frame=1" TargetMode="External"/><Relationship Id="rId22" Type="http://schemas.openxmlformats.org/officeDocument/2006/relationships/hyperlink" Target="http://www.consultant.ru/document/cons_doc_LAW_179711/?frame=2" TargetMode="External"/><Relationship Id="rId27" Type="http://schemas.openxmlformats.org/officeDocument/2006/relationships/hyperlink" Target="http://www.consultant.ru/document/cons_doc_LAW_179711/?frame=3" TargetMode="External"/><Relationship Id="rId30" Type="http://schemas.openxmlformats.org/officeDocument/2006/relationships/hyperlink" Target="http://www.consultant.ru/document/cons_doc_LAW_179503/?dst=101500" TargetMode="External"/><Relationship Id="rId35" Type="http://schemas.openxmlformats.org/officeDocument/2006/relationships/hyperlink" Target="http://www.consultant.ru/document/cons_doc_LAW_153104/?dst=100226" TargetMode="External"/><Relationship Id="rId43" Type="http://schemas.openxmlformats.org/officeDocument/2006/relationships/hyperlink" Target="http://www.consultant.ru/document/cons_doc_LAW_173649/?dst=100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8044</Words>
  <Characters>45853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jghf</dc:creator>
  <cp:lastModifiedBy>jghf</cp:lastModifiedBy>
  <cp:revision>6</cp:revision>
  <dcterms:created xsi:type="dcterms:W3CDTF">2015-05-28T04:09:00Z</dcterms:created>
  <dcterms:modified xsi:type="dcterms:W3CDTF">2015-05-28T04:27:00Z</dcterms:modified>
</cp:coreProperties>
</file>